
<file path=[Content_Types].xml><?xml version="1.0" encoding="utf-8"?>
<Types xmlns="http://schemas.openxmlformats.org/package/2006/content-types">
  <Default Extension="xml" ContentType="application/vnd.openxmlformats-officedocument.wordprocessingml.styles+xml"/>
  <Default Extension="jpg" ContentType="image/jpg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/Relationships>
</file>

<file path=word/document.xml><?xml version="1.0" encoding="utf-8"?>
<w:document xmlns:r="http://schemas.openxmlformats.org/officeDocument/2006/relationships" xmlns:m="http://schemas.openxmlformats.org/officeDocument/2006/math" xmlns:w="http://schemas.openxmlformats.org/wordprocessingml/2006/main">
  <w:body>
    <w:p>
      <w:pPr>
        <w:jc w:val="center"/>
      </w:pPr>
      <w:r>
        <w:t>Министерство науки и высшего образования Республики Казахстан</w:t>
      </w:r>
    </w:p>
    <w:p/>
    <w:p>
      <w:pPr>
        <w:jc w:val="center"/>
      </w:pPr>
      <w:r>
        <w:t>ВКТУ им.Д.Серикбаева</w:t>
      </w:r>
    </w:p>
    <w:p/>
    <w:p/>
    <w:p>
      <w:pPr>
        <w:ind w:left="6100"/>
      </w:pPr>
      <w:r>
        <w:t>УТВЕРЖДАЮ:</w:t>
      </w:r>
    </w:p>
    <w:p>
      <w:pPr>
        <w:ind w:left="6100"/>
      </w:pPr>
      <w:r>
        <w:t>Декан БШ:</w:t>
      </w:r>
    </w:p>
    <w:p>
      <w:pPr>
        <w:ind w:left="6100"/>
      </w:pPr>
      <w:r>
        <w:t/>
      </w:r>
    </w:p>
    <w:p>
      <w:pPr>
        <w:ind w:left="6100"/>
      </w:pPr>
      <w:r>
        <w:t>_____________ </w:t>
      </w:r>
      <w:r>
        <w:t>2029</w:t>
      </w:r>
      <w:r>
        <w:t xml:space="preserve"> г.</w:t>
      </w:r>
    </w:p>
    <w:p/>
    <w:p/>
    <w:p/>
    <w:p/>
    <w:p/>
    <w:p/>
    <w:p/>
    <w:p/>
    <w:p/>
    <w:p>
      <w:pPr>
        <w:jc w:val="center"/>
      </w:pPr>
      <w:r>
        <w:rPr>
          <w:b w:val="1"/>
        </w:rPr>
        <w:t>ТЕОРИЯ И ПРАКТИКА УПРАВЛЕНИЯ КОРПОРАТИВНЫМИ СТРУКТУРАМИ</w:t>
      </w:r>
    </w:p>
    <w:p>
      <w:pPr>
        <w:jc w:val="center"/>
      </w:pPr>
      <w:r>
        <w:t>Рабочая учебная программа (силлабус)</w:t>
      </w:r>
    </w:p>
    <w:p/>
    <w:p/>
    <w:p/>
    <w:p/>
    <w:p>
      <w:r>
        <w:t>Образовательная программа: 6B04103 Бизнес-управление производственными системами</w:t>
      </w:r>
    </w:p>
    <w:p>
      <w:r>
        <w:t>Код дисциплины: TPUKS4313</w:t>
      </w:r>
    </w:p>
    <w:p>
      <w:r>
        <w:t>Количество кредитов: 3</w:t>
      </w:r>
    </w:p>
    <w:p>
      <w:r>
        <w:t>Цикл: ПД</w:t>
      </w:r>
    </w:p>
    <w:p>
      <w:r>
        <w:t>Компонент: КВ</w:t>
      </w:r>
    </w:p>
    <w:p/>
    <w:p/>
    <w:p/>
    <w:p/>
    <w:p/>
    <w:p/>
    <w:p/>
    <w:p/>
    <w:p/>
    <w:p/>
    <w:p/>
    <w:p/>
    <w:p/>
    <w:p>
      <w:pPr>
        <w:jc w:val="center"/>
      </w:pPr>
      <w:r>
        <w:t>Усть-Каменогорск,</w:t>
      </w:r>
      <w:r>
        <w:t xml:space="preserve"> 2029</w:t>
      </w:r>
      <w:r>
        <w:br w:type="page"/>
      </w:r>
    </w:p>
    <w:p>
      <w:pPr>
        <w:ind w:firstLine="567"/>
      </w:pPr>
      <w:r>
        <w:t>Рабочая учебная программа (силлабус) разработана на «БШ»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/>
    <w:p>
      <w:r>
        <w:t>Одобрено Комиссией по обеспечению качества</w:t>
      </w:r>
    </w:p>
    <w:p/>
    <w:p>
      <w:pPr>
        <w:tabs>
          <w:tab w:val="left" w:pos="6500"/>
        </w:tabs>
      </w:pPr>
      <w:r>
        <w:t>Председатель</w:t>
        <w:tab/>
        <w:r>
          <w:t>Жанабаева А.С.</w:t>
        </w:r>
      </w:r>
    </w:p>
    <w:p>
      <w:r>
        <w:t xml:space="preserve">Дата    </w:t>
      </w:r>
      <w:r>
        <w:t>26.08.2026</w:t>
      </w:r>
      <w:r>
        <w:t xml:space="preserve"> г.   протокол </w:t>
      </w:r>
      <w:r>
        <w:t>№1</w:t>
      </w:r>
    </w:p>
    <w:p/>
    <w:p>
      <w:pPr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  <w:tab/>
      </w:r>
      <w:r>
        <w:t>Варавин Е.В.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6B04103</w:t>
      </w:r>
    </w:p>
    <w:p/>
    <w:p>
      <w:pPr>
        <w:tabs>
          <w:tab w:val="left" w:pos="6500"/>
        </w:tabs>
        <w:ind w:left="6500" w:hanging="6500"/>
        <w:jc w:val="left"/>
      </w:pPr>
      <w:r>
        <w:t>Сотрудник библиотеки</w:t>
        <w:tab/>
      </w:r>
      <w:r>
        <w:t>Дроздова О.Н.</w:t>
      </w:r>
    </w:p>
    <w:p/>
    <w:p>
      <w:pPr>
        <w:tabs>
          <w:tab w:val="left" w:pos="6500"/>
        </w:tabs>
        <w:ind w:left="6500" w:hanging="6500"/>
        <w:jc w:val="left"/>
      </w:pPr>
      <w:r>
        <w:t>Разработал</w:t>
        <w:tab/>
      </w:r>
      <w:r>
        <w:t>Казыкенов А.Ж.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/>
    <w:p/>
    <w:p>
      <w:r>
        <w:br w:type="page"/>
      </w:r>
    </w:p>
    <w:p>
      <w:pPr>
        <w:jc w:val="center"/>
      </w:pPr>
      <w:r>
        <w:rPr>
          <w:b w:val="1"/>
        </w:rPr>
        <w:t>1 ХАРАКТЕРИСТИКА ДИСЦИПЛИНЫ, ЕЕ МЕСТО В УЧЕБНОМ ПРОЦЕССЕ</w:t>
      </w:r>
    </w:p>
    <w:p/>
    <w:p>
      <w:pPr>
        <w:jc w:val="center"/>
      </w:pPr>
      <w:r>
        <w:rPr>
          <w:b w:val="1"/>
        </w:rPr>
        <w:t>1.1 Краткое описание дисциплины</w:t>
      </w:r>
    </w:p>
    <w:p/>
    <w:p>
      <w:pPr>
        <w:ind w:firstLine="567"/>
      </w:pPr>
      <w:r>
        <w:t>Дисциплина «Теория и практика управления корпоративными структурами» направлена на формирование у студентов комплекса знаний и прикладных навыков в области создания, развития и эффективного функционирования крупных объединенных хозяйственных субъектов (холдингов, финансово-промышленных групп, концернов, транснациональных компаний и акционерных обществ).</w:t>
      </w:r>
    </w:p>
    <w:p/>
    <w:p>
      <w:pPr>
        <w:jc w:val="center"/>
      </w:pPr>
      <w:r>
        <w:rPr>
          <w:b w:val="1"/>
        </w:rPr>
        <w:t>1.2 Цель и задачи изучения дисциплины</w:t>
      </w:r>
    </w:p>
    <w:p/>
    <w:p>
      <w:pPr>
        <w:ind w:firstLine="567"/>
      </w:pPr>
      <w:r>
        <w:t>Цель изучения дисциплины:</w:t>
      </w:r>
    </w:p>
    <w:p/>
    <w:p>
      <w:pPr>
        <w:ind w:firstLine="567"/>
      </w:pPr>
      <w:r>
        <w:t>Задачи изучения дисциплины:</w:t>
      </w:r>
    </w:p>
    <w:p/>
    <w:p>
      <w:pPr>
        <w:jc w:val="center"/>
      </w:pPr>
      <w:r>
        <w:rPr>
          <w:b w:val="1"/>
        </w:rPr>
        <w:t>1.3 Цели устойчивого развития</w:t>
      </w:r>
    </w:p>
    <w:p/>
    <w:p/>
    <w:p>
      <w:pPr>
        <w:jc w:val="center"/>
      </w:pPr>
      <w:r>
        <w:rPr>
          <w:b w:val="1"/>
        </w:rPr>
        <w:t>1.4 Результаты обучения</w:t>
      </w:r>
    </w:p>
    <w:p/>
    <w:p>
      <w:pPr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vMerge w:val="restart"/>
            <w:tcW w:w="1119" w:type="pct"/>
          </w:tcPr>
          <w:p>
            <w:pPr>
              <w:jc w:val="center"/>
            </w:pPr>
            <w:r>
              <w:t>Формируемые ключевые компетенции</w:t>
            </w:r>
          </w:p>
        </w:tc>
        <w:tc>
          <w:tcPr>
            <w:gridSpan w:val="2"/>
          </w:tcPr>
          <w:p>
            <w:pPr>
              <w:jc w:val="center"/>
            </w:pPr>
            <w:r>
              <w:t>Результаты обучения (единицы ключевых компетенций)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w="2015" w:type="pct"/>
          </w:tcPr>
          <w:p>
            <w:pPr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>
            <w:pPr>
              <w:jc w:val="center"/>
            </w:pPr>
            <w:r>
              <w:t>дисциплины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КК7 - Способность разрабатывать операционные планы производства и участвовать в их реализации
</w:t>
            </w:r>
          </w:p>
        </w:tc>
        <w:tc>
          <w:p>
            <w:r>
              <w:rPr>
                <w:sz w:val="20"/>
              </w:rPr>
              <w:t>РО11 - Способен ставить и реализовывать задачи текущего развития предприятия, оценивать экономические и социальные условия осуществления инновационной деятельности, соблюдения стандартов качества</w:t>
            </w:r>
          </w:p>
        </w:tc>
        <w:tc>
          <w:tcPr>
            <w:vMerge w:val="restart"/>
          </w:tcPr>
          <w:p/>
        </w:tc>
      </w:tr>
    </w:tbl>
    <w:p/>
    <w:p>
      <w:pPr>
        <w:jc w:val="center"/>
      </w:pPr>
      <w:r>
        <w:rPr>
          <w:b w:val="1"/>
        </w:rPr>
        <w:t>1.5 Образовательные технологии, применяемые при освоении дисциплины</w:t>
      </w:r>
    </w:p>
    <w:p/>
    <w:p>
      <w:pPr>
        <w:jc w:val="center"/>
      </w:pPr>
      <w:r>
        <w:rPr>
          <w:b w:val="1"/>
        </w:rPr>
        <w:t>1.5.1 Современные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/>
    <w:p/>
    <w:p>
      <w:pPr>
        <w:jc w:val="center"/>
      </w:pPr>
      <w:r>
        <w:rPr>
          <w:b w:val="1"/>
        </w:rPr>
        <w:t>1.5.2 Адаптивные образовательные технологии (инклюзивное обучение)</w:t>
      </w:r>
    </w:p>
    <w:p/>
    <w:p>
      <w:pPr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/>
    <w:p/>
    <w:p/>
    <w:p>
      <w:pPr>
        <w:jc w:val="center"/>
      </w:pPr>
      <w:r>
        <w:rPr>
          <w:b w:val="1"/>
        </w:rPr>
        <w:t>1.6 Пререквизиты</w:t>
      </w:r>
    </w:p>
    <w:p/>
    <w:p>
      <w:pPr>
        <w:ind w:firstLine="567"/>
      </w:pPr>
      <w:r>
        <w:t>- Стратегический менеджмент</w:t>
      </w:r>
    </w:p>
    <w:p/>
    <w:p>
      <w:pPr>
        <w:jc w:val="center"/>
      </w:pPr>
      <w:r>
        <w:rPr>
          <w:b w:val="1"/>
        </w:rPr>
        <w:t>1.7 Постреквизиты</w:t>
      </w:r>
    </w:p>
    <w:p/>
    <w:p>
      <w:pPr>
        <w:ind w:firstLine="567"/>
      </w:pPr>
    </w:p>
    <w:p/>
    <w:p>
      <w:pPr>
        <w:jc w:val="center"/>
      </w:pPr>
      <w:r>
        <w:rPr>
          <w:b w:val="1"/>
        </w:rPr>
        <w:t>1.8 Трудоемкость дисциплины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3500"/>
          </w:tcPr>
          <w:p>
            <w:r>
              <w:t>Виды работ</w:t>
            </w:r>
          </w:p>
        </w:tc>
        <w:tc>
          <w:tcPr>
            <w:tcW w:type="pct" w:w="1500"/>
          </w:tcPr>
          <w:p>
            <w:pPr>
              <w:jc w:val="center"/>
            </w:pPr>
            <w:r>
              <w:t>часы</w:t>
            </w:r>
          </w:p>
        </w:tc>
      </w:tr>
      <w:tr>
        <w:tc>
          <w:p>
            <w:r>
              <w:t>Лекции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Практические работы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СРОП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СРО</w:t>
            </w:r>
          </w:p>
        </w:tc>
        <w:tc>
          <w:p>
            <w:pPr>
              <w:jc w:val="center"/>
            </w:pPr>
            <w:r>
              <w:t>45</w:t>
            </w:r>
          </w:p>
        </w:tc>
      </w:tr>
      <w:tr>
        <w:tc>
          <w:p>
            <w:pPr>
              <w:jc w:val="left"/>
            </w:pPr>
            <w:r>
              <w:t>Форма проведения итогового контроля</w:t>
            </w:r>
          </w:p>
        </w:tc>
        <w:tc>
          <w:p>
            <w:pPr>
              <w:jc w:val="center"/>
            </w:pPr>
            <w:r>
              <w:t>экзамен</w:t>
            </w:r>
          </w:p>
        </w:tc>
      </w:tr>
    </w:tbl>
    <w:p/>
    <w:p>
      <w:pPr>
        <w:jc w:val="center"/>
      </w:pPr>
      <w:r>
        <w:rPr>
          <w:b w:val="1"/>
        </w:rPr>
        <w:t>2 СОДЕРЖАНИЕ ДИСЦИПЛИНЫ</w:t>
      </w:r>
    </w:p>
    <w:p/>
    <w:p>
      <w:pPr>
        <w:jc w:val="center"/>
      </w:pPr>
      <w:r>
        <w:rPr>
          <w:b w:val="1"/>
        </w:rPr>
        <w:t>2.1 Тематический план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147" w:type="pct"/>
          </w:tcPr>
          <w:p>
            <w:pPr>
              <w:jc w:val="center"/>
            </w:pPr>
            <w:r>
              <w:t>№</w:t>
            </w:r>
          </w:p>
        </w:tc>
        <w:tc>
          <w:tcPr>
            <w:tcW w:w="3383" w:type="pct"/>
          </w:tcPr>
          <w:p>
            <w:pPr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tcPr>
            <w:gridSpan w:val="6"/>
          </w:tcPr>
          <w:p>
            <w:pPr>
              <w:jc w:val="center"/>
            </w:pPr>
            <w:r>
              <w:rPr>
                <w:b w:val="1"/>
              </w:rPr>
              <w:t>Лекционные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t>Тема 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tcPr>
            <w:gridSpan w:val="3"/>
          </w:tcPr>
          <w:p/>
        </w:tc>
      </w:tr>
      <w:tr>
        <w:tc>
          <w:tcPr>
            <w:gridSpan w:val="6"/>
          </w:tcPr>
          <w:p>
            <w:pPr>
              <w:jc w:val="center"/>
            </w:pPr>
            <w:r>
              <w:rPr>
                <w:b w:val="1"/>
              </w:rPr>
              <w:t>Практические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t>Тема 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tcPr>
            <w:gridSpan w:val="3"/>
          </w:tcPr>
          <w:p/>
        </w:tc>
      </w:tr>
    </w:tbl>
    <w:p/>
    <w:p>
      <w:pPr>
        <w:jc w:val="center"/>
      </w:pPr>
      <w:r>
        <w:rPr>
          <w:b w:val="1"/>
        </w:rPr>
        <w:t>2.2 Задания для самостоятельной работы обучающегося (СРО)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rHeight w:val="1229"/>
          <w:tblHeader w:val="1"/>
        </w:trPr>
        <w:tc>
          <w:tcPr>
            <w:tcW w:w="1026" w:type="pct"/>
          </w:tcPr>
          <w:p>
            <w:pPr>
              <w:jc w:val="center"/>
            </w:pPr>
            <w:r>
              <w:t>Тема</w:t>
            </w:r>
          </w:p>
        </w:tc>
        <w:tc>
          <w:tcPr>
            <w:tcW w:w="1140" w:type="pct"/>
          </w:tcPr>
          <w:p>
            <w:pPr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>
            <w:pPr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>
            <w:pPr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>
            <w:pPr>
              <w:jc w:val="center"/>
            </w:pPr>
            <w:r>
              <w:t>Результаты CDIO</w:t>
            </w:r>
          </w:p>
        </w:tc>
      </w:tr>
      <w:tr>
        <w:tc>
          <w:p/>
        </w:tc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4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0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2.3 График сдачи заданий по дисциплине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1850"/>
            <w:vMerge w:val="restart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gridSpan w:val="15"/>
          </w:tcPr>
          <w:p>
            <w:pPr>
              <w:jc w:val="center"/>
            </w:pPr>
            <w:r>
              <w:t>Академический период обучения, неделя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type="pct" w:w="210"/>
          </w:tcPr>
          <w:p>
            <w:pPr>
              <w:jc w:val="center"/>
            </w:pPr>
            <w:r>
              <w:t>1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2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3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4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5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6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7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8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9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10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11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12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13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14</w:t>
            </w:r>
          </w:p>
        </w:tc>
        <w:tc>
          <w:tcPr>
            <w:tcW w:type="pct" w:w="210"/>
          </w:tcPr>
          <w:p>
            <w:pPr>
              <w:jc w:val="center"/>
            </w:pPr>
            <w:r>
              <w:t>15</w:t>
            </w: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Знание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Понимание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Применение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Анализ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3 ОЦЕНКА ЗНАНИЙ ОБУЧАЮЩЕГОСЯ</w:t>
      </w:r>
    </w:p>
    <w:p/>
    <w:p>
      <w:pPr>
        <w:ind w:firstLine="567"/>
      </w:pPr>
      <w:r>
        <w:t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500"/>
          </w:tcPr>
          <w:p>
            <w:pPr>
              <w:jc w:val="center"/>
            </w:pPr>
            <w:r>
              <w:t>Период</w:t>
            </w:r>
          </w:p>
        </w:tc>
        <w:tc>
          <w:tcPr>
            <w:tcW w:type="pct" w:w="2500"/>
          </w:tcPr>
          <w:p>
            <w:pPr>
              <w:jc w:val="center"/>
            </w:pPr>
            <w:r>
              <w:t>Вид работы</w:t>
            </w:r>
          </w:p>
        </w:tc>
        <w:tc>
          <w:tcPr>
            <w:tcW w:type="pct" w:w="500"/>
          </w:tcPr>
          <w:p>
            <w:pPr>
              <w:jc w:val="center"/>
            </w:pPr>
            <w:r>
              <w:t>Итоговая оценка</w:t>
            </w: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/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/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p>
            <w:pPr>
              <w:jc w:val="center"/>
            </w:pPr>
            <w:r>
              <w:t>Итоговый контроль</w:t>
            </w:r>
          </w:p>
        </w:tc>
        <w:tc>
          <w:tcPr>
            <w:hMerge w:val="restart"/>
          </w:tcPr>
          <w:p>
            <w:r>
              <w:t>экзамен</w:t>
            </w:r>
          </w:p>
        </w:tc>
        <w:tc>
          <w:p>
            <w:pPr>
              <w:jc w:val="center"/>
            </w:pPr>
            <w:r>
              <w:t>0-100</w:t>
            </w:r>
          </w:p>
        </w:tc>
      </w:tr>
    </w:tbl>
    <w:p/>
    <w:p>
      <w:pPr>
        <w:jc w:val="center"/>
      </w:pPr>
      <w:r>
        <w:rPr>
          <w:b w:val="1"/>
        </w:rPr>
        <w:t>3.1 Политика оценивания результатов обучения по видам работ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c>
          <w:tcPr>
            <w:tcW w:type="pct" w:w="1000"/>
            <w:vMerge w:val="restart"/>
          </w:tcPr>
          <w:p>
            <w:pPr>
              <w:jc w:val="center"/>
            </w:pPr>
            <w:r>
              <w:rPr>
                <w:b w:val="1"/>
                <w:sz w:val="20"/>
              </w:rPr>
              <w:t>Вид работы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90-100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70-89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50-69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rPr>
                <w:b w:val="1"/>
                <w:sz w:val="20"/>
              </w:rPr>
              <w:t>0-49</w:t>
            </w:r>
          </w:p>
        </w:tc>
      </w:tr>
      <w:tr>
        <w:tc>
          <w:tcPr>
            <w:vMerge/>
          </w:tcPr>
          <w:p/>
        </w:tc>
        <w:tc>
          <w:p>
            <w:pPr>
              <w:jc w:val="center"/>
            </w:pPr>
            <w:r>
              <w:rPr>
                <w:b w:val="1"/>
                <w:sz w:val="20"/>
              </w:rPr>
              <w:t>Отлично</w:t>
            </w:r>
          </w:p>
        </w:tc>
        <w:tc>
          <w:p>
            <w:pPr>
              <w:jc w:val="center"/>
            </w:pPr>
            <w:r>
              <w:rPr>
                <w:b w:val="1"/>
                <w:sz w:val="20"/>
              </w:rPr>
              <w:t>Хорошо</w:t>
            </w:r>
          </w:p>
        </w:tc>
        <w:tc>
          <w:p>
            <w:pPr>
              <w:jc w:val="center"/>
            </w:pPr>
            <w:r>
              <w:rPr>
                <w:b w:val="1"/>
                <w:sz w:val="20"/>
              </w:rPr>
              <w:t>Удовлетворительно</w:t>
              <w:t/>
            </w:r>
          </w:p>
        </w:tc>
        <w:tc>
          <w:p>
            <w:pPr>
              <w:jc w:val="center"/>
            </w:pPr>
            <w:r>
              <w:rPr>
                <w:b w:val="1"/>
                <w:sz w:val="20"/>
              </w:rPr>
              <w:t>Неудовлетворительно</w:t>
              <w:t/>
            </w:r>
          </w:p>
        </w:tc>
      </w:tr>
    </w:tbl>
    <w:p/>
    <w:p>
      <w:pPr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>
      <w:pPr>
        <w:ind w:firstLine="567"/>
      </w:pPr>
      <w:r>
        <w:t>- 60% результатов текущей успеваемости;</w:t>
      </w:r>
    </w:p>
    <w:p>
      <w:pPr>
        <w:ind w:firstLine="567"/>
      </w:pPr>
      <w:r>
        <w:t>- 40% результата, полученного на экзамене.</w:t>
      </w:r>
    </w:p>
    <w:p/>
    <w:p>
      <w:pPr>
        <w:ind w:firstLine="567"/>
      </w:pPr>
      <w:r>
        <w:t>Формула подсчета итоговой оценки:</w:t>
      </w:r>
    </w:p>
    <w:p/>
    <w:p>
      <w:pPr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/>
                <w:i/>
                <w:szCs w:val="28"/>
              </w:rPr>
            </m:ctrlPr>
          </m:num>
          <m:den>
            <m:r>
              <w:rPr>
                <w:rFonts w:ascii="Cambria Math"/>
                <w:szCs w:val="28"/>
              </w:rPr>
              <m:t>2</m:t>
            </m:r>
            <m:ctrlPr>
              <w:rPr>
                <w:rFonts w:asci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  <w:tab/>
        <w:tab/>
        <w:tab/>
        <w:tab/>
        <w:t>(1)</w:t>
      </w:r>
    </w:p>
    <w:p/>
    <w:p>
      <w:pPr>
        <w:ind w:firstLine="567"/>
      </w:pPr>
      <w:r>
        <w:t>где Р1, Р2 – цифровые эквиваленты оценок первого, второго рейтингов соответственно; Э – цифровой эквивалент оценки на экзамене.</w:t>
      </w:r>
    </w:p>
    <w:p/>
    <w:p>
      <w:pPr>
        <w:ind w:firstLine="567"/>
      </w:pPr>
      <w:r>
        <w:t>Буквенная система оценки учебных достижений обучающихся, соответствующая цифровому эквиваленту по четырехбалльной системе:</w:t>
      </w:r>
    </w:p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600" w:type="pct"/>
          </w:tcPr>
          <w:p>
            <w:pPr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>
            <w:pPr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Оценка по традиционной системе</w:t>
            </w:r>
          </w:p>
        </w:tc>
      </w:tr>
      <w:tr>
        <w:tc>
          <w:p>
            <w:pPr>
              <w:jc w:val="center"/>
            </w:pPr>
            <w:r>
              <w:t>A</w:t>
            </w:r>
          </w:p>
        </w:tc>
        <w:tc>
          <w:p>
            <w:pPr>
              <w:jc w:val="center"/>
            </w:pPr>
            <w:r>
              <w:t>4.0</w:t>
            </w:r>
          </w:p>
        </w:tc>
        <w:tc>
          <w:p>
            <w:pPr>
              <w:jc w:val="center"/>
            </w:pPr>
            <w:r>
              <w:t>95-100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Отлично</w:t>
            </w:r>
          </w:p>
        </w:tc>
      </w:tr>
      <w:tr>
        <w:tc>
          <w:p>
            <w:pPr>
              <w:jc w:val="center"/>
            </w:pPr>
            <w:r>
              <w:t>A-</w:t>
            </w:r>
          </w:p>
        </w:tc>
        <w:tc>
          <w:p>
            <w:pPr>
              <w:jc w:val="center"/>
            </w:pPr>
            <w:r>
              <w:t>3.67</w:t>
            </w:r>
          </w:p>
        </w:tc>
        <w:tc>
          <w:p>
            <w:pPr>
              <w:jc w:val="center"/>
            </w:pPr>
            <w:r>
              <w:t>90-94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B+</w:t>
            </w:r>
          </w:p>
        </w:tc>
        <w:tc>
          <w:p>
            <w:pPr>
              <w:jc w:val="center"/>
            </w:pPr>
            <w:r>
              <w:t>3.33</w:t>
            </w:r>
          </w:p>
        </w:tc>
        <w:tc>
          <w:p>
            <w:pPr>
              <w:jc w:val="center"/>
            </w:pPr>
            <w:r>
              <w:t>85-89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Хорошо</w:t>
            </w:r>
          </w:p>
        </w:tc>
      </w:tr>
      <w:tr>
        <w:tc>
          <w:p>
            <w:pPr>
              <w:jc w:val="center"/>
            </w:pPr>
            <w:r>
              <w:t>B</w:t>
            </w:r>
          </w:p>
        </w:tc>
        <w:tc>
          <w:p>
            <w:pPr>
              <w:jc w:val="center"/>
            </w:pPr>
            <w:r>
              <w:t>3.0</w:t>
            </w:r>
          </w:p>
        </w:tc>
        <w:tc>
          <w:p>
            <w:pPr>
              <w:jc w:val="center"/>
            </w:pPr>
            <w:r>
              <w:t>80-84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B-</w:t>
            </w:r>
          </w:p>
        </w:tc>
        <w:tc>
          <w:p>
            <w:pPr>
              <w:jc w:val="center"/>
            </w:pPr>
            <w:r>
              <w:t>2.67</w:t>
            </w:r>
          </w:p>
        </w:tc>
        <w:tc>
          <w:p>
            <w:pPr>
              <w:jc w:val="center"/>
            </w:pPr>
            <w:r>
              <w:t>75-79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C+</w:t>
            </w:r>
          </w:p>
        </w:tc>
        <w:tc>
          <w:p>
            <w:pPr>
              <w:jc w:val="center"/>
            </w:pPr>
            <w:r>
              <w:t>2.33</w:t>
            </w:r>
          </w:p>
        </w:tc>
        <w:tc>
          <w:p>
            <w:pPr>
              <w:jc w:val="center"/>
            </w:pPr>
            <w:r>
              <w:t>70-74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</w:t>
            </w:r>
          </w:p>
        </w:tc>
        <w:tc>
          <w:p>
            <w:pPr>
              <w:jc w:val="center"/>
            </w:pPr>
            <w:r>
              <w:t>2.0</w:t>
            </w:r>
          </w:p>
        </w:tc>
        <w:tc>
          <w:p>
            <w:pPr>
              <w:jc w:val="center"/>
            </w:pPr>
            <w:r>
              <w:t>65-69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Удовлетворительно</w:t>
            </w:r>
          </w:p>
        </w:tc>
      </w:tr>
      <w:tr>
        <w:tc>
          <w:p>
            <w:pPr>
              <w:jc w:val="center"/>
            </w:pPr>
            <w:r>
              <w:t>C-</w:t>
            </w:r>
          </w:p>
        </w:tc>
        <w:tc>
          <w:p>
            <w:pPr>
              <w:jc w:val="center"/>
            </w:pPr>
            <w:r>
              <w:t>1.67</w:t>
            </w:r>
          </w:p>
        </w:tc>
        <w:tc>
          <w:p>
            <w:pPr>
              <w:jc w:val="center"/>
            </w:pPr>
            <w:r>
              <w:t>60-64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D+</w:t>
            </w:r>
          </w:p>
        </w:tc>
        <w:tc>
          <w:p>
            <w:pPr>
              <w:jc w:val="center"/>
            </w:pPr>
            <w:r>
              <w:t>1.33</w:t>
            </w:r>
          </w:p>
        </w:tc>
        <w:tc>
          <w:p>
            <w:pPr>
              <w:jc w:val="center"/>
            </w:pPr>
            <w:r>
              <w:t>55-59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</w:t>
            </w:r>
          </w:p>
        </w:tc>
        <w:tc>
          <w:p>
            <w:pPr>
              <w:jc w:val="center"/>
            </w:pPr>
            <w:r>
              <w:t>1.0</w:t>
            </w:r>
          </w:p>
        </w:tc>
        <w:tc>
          <w:p>
            <w:pPr>
              <w:jc w:val="center"/>
            </w:pPr>
            <w:r>
              <w:t>50-54</w:t>
            </w:r>
          </w:p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FX</w:t>
            </w:r>
          </w:p>
        </w:tc>
        <w:tc>
          <w:p>
            <w:pPr>
              <w:jc w:val="center"/>
            </w:pPr>
            <w:r>
              <w:t>0.5</w:t>
            </w:r>
          </w:p>
        </w:tc>
        <w:tc>
          <w:p>
            <w:pPr>
              <w:jc w:val="center"/>
            </w:pPr>
            <w:r>
              <w:t>25-49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Неудовлетворительно</w:t>
            </w:r>
          </w:p>
        </w:tc>
      </w:tr>
      <w:tr>
        <w:tc>
          <w:p>
            <w:pPr>
              <w:jc w:val="center"/>
            </w:pPr>
            <w:r>
              <w:t>F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0-24</w:t>
            </w:r>
          </w:p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4 ПОЛИТИКА ДИСЦИПЛИНЫ</w:t>
      </w:r>
    </w:p>
    <w:p/>
    <w:p>
      <w:pPr>
        <w:ind w:firstLine="567"/>
      </w:pPr>
      <w:r>
        <w:t>Обучающийся обязан:</w:t>
      </w:r>
    </w:p>
    <w:p/>
    <w:p>
      <w:pPr>
        <w:jc w:val="center"/>
      </w:pPr>
      <w:r>
        <w:rPr>
          <w:b w:val="1"/>
        </w:rPr>
        <w:t>5 СПИСОК РЕКОМЕНДУЕМОЙ ЛИТЕРАТУРЫ</w:t>
      </w:r>
    </w:p>
    <w:p/>
    <w:p>
      <w:pPr>
        <w:jc w:val="center"/>
      </w:pPr>
      <w:r>
        <w:rPr>
          <w:b w:val="1"/>
        </w:rPr>
        <w:t>5.1 Основная литература</w:t>
      </w:r>
    </w:p>
    <w:p/>
    <w:p>
      <w:pPr>
        <w:ind w:firstLine="567"/>
      </w:pPr>
      <w:r>
        <w:t>Основная литература</w:t>
      </w:r>
    </w:p>
    <w:p/>
    <w:p>
      <w:pPr>
        <w:jc w:val="center"/>
      </w:pPr>
      <w:r>
        <w:rPr>
          <w:b w:val="1"/>
        </w:rPr>
        <w:t>5.2 Дополнительная литература</w:t>
      </w:r>
    </w:p>
    <w:p/>
    <w:p>
      <w:pPr>
        <w:ind w:firstLine="567"/>
      </w:pPr>
      <w:r>
        <w:t>1.	IPR SMART http://www.iprbookshop.ru</w:t>
      </w:r>
    </w:p>
    <w:p>
      <w:pPr>
        <w:ind w:firstLine="567"/>
      </w:pPr>
      <w:r>
        <w:t>2.	ScienceDirect - http://www.sciencedirect.com.</w:t>
      </w:r>
    </w:p>
    <w:p>
      <w:pPr>
        <w:ind w:firstLine="567"/>
      </w:pPr>
      <w:r>
        <w:t>3.	EBSCO Discovery Service (EDS) -  http://search.ebscohost.com</w:t>
      </w:r>
    </w:p>
    <w:p>
      <w:pPr>
        <w:ind w:firstLine="567"/>
      </w:pPr>
      <w:r>
        <w:t>Дополнительная литература</w:t>
      </w:r>
    </w:p>
    <w:sectPr>
      <w:headerReference w:type="default" r:id="rId2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header1.xml><?xml version="1.0" encoding="utf-8"?>
<w:hdr xmlns:wp="http://schemas.openxmlformats.org/drawingml/2006/wordprocessingDrawing" xmlns:r="http://schemas.openxmlformats.org/officeDocument/2006/relationships" xmlns:w="http://schemas.openxmlformats.org/wordprocessingml/2006/main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</w:tblPr>
    <w:tblGrid/>
    <w:tr>
      <w:trPr>
        <w:cantSplit/>
        <w:trHeight w:val="353"/>
      </w:trPr>
      <w:tc>
        <w:tcPr>
          <w:tcW w:w="1129" w:type="dxa"/>
          <w:vMerge w:val="restart"/>
          <w:vAlign w:val="center"/>
        </w:tcPr>
        <w:p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gridSpan w:val="2"/>
          <w:vAlign w:val="center"/>
        </w:tcPr>
        <w:p>
          <w:pPr>
            <w:pStyle w:val="header"/>
          </w:pPr>
          <w: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>
          <w:pPr>
            <w:pStyle w:val="header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fldChar w:fldCharType="end"/>
          </w:r>
        </w:p>
      </w:tc>
    </w:tr>
    <w:tr>
      <w:trPr>
        <w:cantSplit/>
        <w:trHeight w:val="310"/>
      </w:trPr>
      <w:tc>
        <w:tcPr>
          <w:tcW w:w="1129" w:type="dxa"/>
          <w:vMerge/>
        </w:tcPr>
        <w:p/>
      </w:tc>
      <w:tc>
        <w:tcPr>
          <w:tcW w:w="1921" w:type="dxa"/>
          <w:vAlign w:val="center"/>
        </w:tcPr>
        <w:p>
          <w:pPr>
            <w:pStyle w:val="header"/>
          </w:pPr>
          <w:r>
            <w:t>Интегрированная система менеджмента</w:t>
          </w:r>
        </w:p>
      </w:tc>
      <w:tc>
        <w:tcPr>
          <w:vAlign w:val="center"/>
        </w:tcPr>
        <w:p>
          <w:pPr>
            <w:pStyle w:val="header"/>
          </w:pPr>
          <w:r>
            <w:t>И ВКТУ 026-III-2024</w:t>
          </w:r>
        </w:p>
        <w:p>
          <w:pPr>
            <w:pStyle w:val="header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/>
      </w:tc>
    </w:tr>
  </w:tbl>
  <w:p/>
</w:hdr>
</file>

<file path=word/settings.xml><?xml version="1.0" encoding="utf-8"?>
<w:settings xmlns:w="http://schemas.openxmlformats.org/wordprocessingml/2006/main">
  <w:view w:val="print"/>
  <w:zoom w:percent="100"/>
</w:settings>
</file>

<file path=word/styles.xml><?xml version="1.0" encoding="utf-8"?>
<w:styles xmlns:w="http://schemas.openxmlformats.org/wordprocessingml/2006/main">
  <w:style w:default="true" w:type="paragraph" w:styleId="default">
    <w:pPr>
      <w:spacing w:after="0" w:line="240" w:lineRule="auto"/>
      <w:jc w:val="both"/>
    </w:pPr>
    <w:rPr>
      <w:rFonts w:ascii="Times New Roman" w:cs="Times New Roman" w:hAnsi="Times New Roman"/>
      <w:sz w:val="24"/>
    </w:rPr>
  </w:style>
  <w:style w:type="paragraph" w:styleId="title">
    <w:pPr>
      <w:jc w:val="center"/>
      <w:spacing w:after="0" w:line="240" w:lineRule="auto"/>
    </w:pPr>
    <w:rPr>
      <w:b w:val="1"/>
      <w:rFonts w:ascii="Times New Roman" w:cs="Times New Roman" w:hAnsi="Times New Roman"/>
      <w:sz w:val="22"/>
    </w:rPr>
  </w:style>
  <w:style w:type="paragraph" w:styleId="header">
    <w:pPr>
      <w:jc w:val="center"/>
      <w:spacing w:after="0" w:line="240" w:lineRule="auto"/>
    </w:pPr>
    <w:rPr>
      <w:b w:val="1"/>
      <w:rFonts w:ascii="Tahoma" w:cs="Tahoma" w:hAnsi="Tahoma"/>
      <w:sz w:val="1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2" /><Relationship Type="http://schemas.openxmlformats.org/officeDocument/2006/relationships/settings" Target="/word/settings.xml" Id="rId3" /><Relationship Type="http://schemas.openxmlformats.org/officeDocument/2006/relationships/header" Target="/word/header1.xml" Id="rId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jpg" Id="rId1" /></Relationships>
</file>